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D" w:rsidRDefault="005F06F4" w:rsidP="00BC4A4D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播音与主持艺术</w:t>
      </w:r>
      <w:r w:rsidR="00BC4A4D" w:rsidRPr="00A73621">
        <w:rPr>
          <w:rFonts w:ascii="仿宋_GB2312" w:eastAsia="仿宋_GB2312" w:hint="eastAsia"/>
          <w:b/>
          <w:sz w:val="28"/>
          <w:szCs w:val="28"/>
        </w:rPr>
        <w:t xml:space="preserve">  本科专业培养计划</w:t>
      </w:r>
    </w:p>
    <w:p w:rsidR="00BC4A4D" w:rsidRPr="00AB149C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所属系：文学系                         标准学制：四年</w:t>
      </w:r>
    </w:p>
    <w:p w:rsidR="00BC4A4D" w:rsidRPr="00AB149C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学科门类：</w:t>
      </w:r>
      <w:r w:rsidR="005F06F4">
        <w:rPr>
          <w:rFonts w:ascii="仿宋_GB2312" w:eastAsia="仿宋_GB2312" w:hint="eastAsia"/>
          <w:sz w:val="28"/>
          <w:szCs w:val="28"/>
        </w:rPr>
        <w:t>艺术学</w:t>
      </w:r>
      <w:r w:rsidR="001E15D1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Pr="00AB149C">
        <w:rPr>
          <w:rFonts w:ascii="仿宋_GB2312" w:eastAsia="仿宋_GB2312" w:hint="eastAsia"/>
          <w:sz w:val="28"/>
          <w:szCs w:val="28"/>
        </w:rPr>
        <w:t>专业代码：</w:t>
      </w:r>
      <w:r w:rsidR="005F06F4" w:rsidRPr="005F06F4">
        <w:rPr>
          <w:rFonts w:ascii="仿宋_GB2312" w:eastAsia="仿宋_GB2312"/>
          <w:sz w:val="28"/>
          <w:szCs w:val="28"/>
        </w:rPr>
        <w:t>130309</w:t>
      </w:r>
    </w:p>
    <w:p w:rsidR="00BC4A4D" w:rsidRPr="00AB149C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专业大类：戏剧与</w:t>
      </w:r>
      <w:proofErr w:type="gramStart"/>
      <w:r w:rsidRPr="00AB149C">
        <w:rPr>
          <w:rFonts w:ascii="仿宋_GB2312" w:eastAsia="仿宋_GB2312" w:hint="eastAsia"/>
          <w:sz w:val="28"/>
          <w:szCs w:val="28"/>
        </w:rPr>
        <w:t>影视学类</w:t>
      </w:r>
      <w:proofErr w:type="gramEnd"/>
      <w:r w:rsidRPr="00AB149C">
        <w:rPr>
          <w:rFonts w:ascii="仿宋_GB2312" w:eastAsia="仿宋_GB2312" w:hint="eastAsia"/>
          <w:sz w:val="28"/>
          <w:szCs w:val="28"/>
        </w:rPr>
        <w:t xml:space="preserve">               授予学位：艺术学学士</w:t>
      </w:r>
    </w:p>
    <w:p w:rsidR="00BC4A4D" w:rsidRPr="001E15D1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适应年级：2021级                      专业负责人：</w:t>
      </w:r>
      <w:r w:rsidR="005F06F4" w:rsidRPr="001E15D1">
        <w:rPr>
          <w:rFonts w:ascii="仿宋_GB2312" w:eastAsia="仿宋_GB2312" w:hint="eastAsia"/>
          <w:sz w:val="28"/>
          <w:szCs w:val="28"/>
        </w:rPr>
        <w:t>栾潇潇</w:t>
      </w:r>
    </w:p>
    <w:p w:rsidR="00BC4A4D" w:rsidRPr="00AB149C" w:rsidRDefault="00BC4A4D" w:rsidP="00BC4A4D">
      <w:pPr>
        <w:spacing w:line="520" w:lineRule="exact"/>
        <w:rPr>
          <w:rFonts w:ascii="仿宋_GB2312" w:eastAsia="仿宋_GB2312" w:hAnsi="Calibri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一、培养目标</w:t>
      </w:r>
    </w:p>
    <w:p w:rsidR="00BC4A4D" w:rsidRPr="005F06F4" w:rsidRDefault="005F06F4" w:rsidP="005F06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F06F4">
        <w:rPr>
          <w:rFonts w:ascii="仿宋_GB2312" w:eastAsia="仿宋_GB2312" w:hint="eastAsia"/>
          <w:sz w:val="28"/>
          <w:szCs w:val="28"/>
        </w:rPr>
        <w:t>本专业培养基础扎实、实践能力强、综合素质高、具有创新精神与创业能力，适应区域文化事业、文化产业发展和网络新媒体平台，兼具节目制作、策划能力的播音与主持艺术应用型人才。毕业后可选择在广播电台、电视台、网络传媒机构、教育机构等与有声语言相关的部门工作。</w:t>
      </w:r>
    </w:p>
    <w:p w:rsidR="00BC4A4D" w:rsidRPr="00AB149C" w:rsidRDefault="00BC4A4D" w:rsidP="00BC4A4D">
      <w:pPr>
        <w:spacing w:line="520" w:lineRule="exact"/>
        <w:rPr>
          <w:rFonts w:ascii="仿宋_GB2312" w:eastAsia="仿宋_GB2312" w:hAnsi="Calibri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二、专业培养要求</w:t>
      </w:r>
    </w:p>
    <w:p w:rsidR="00BC4A4D" w:rsidRPr="00AB149C" w:rsidRDefault="00BC4A4D" w:rsidP="00BC4A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本专业学生主要学习</w:t>
      </w:r>
      <w:r w:rsidR="004035B1" w:rsidRPr="004035B1">
        <w:rPr>
          <w:rFonts w:ascii="仿宋_GB2312" w:eastAsia="仿宋_GB2312" w:hint="eastAsia"/>
          <w:sz w:val="28"/>
          <w:szCs w:val="28"/>
        </w:rPr>
        <w:t>广播电视新闻传播、语言文学、播音学以及艺术、美学等多学科知识与能力，</w:t>
      </w:r>
      <w:r w:rsidRPr="00AB149C">
        <w:rPr>
          <w:rFonts w:ascii="仿宋_GB2312" w:eastAsia="仿宋_GB2312" w:hint="eastAsia"/>
          <w:sz w:val="28"/>
          <w:szCs w:val="28"/>
        </w:rPr>
        <w:t>能够熟练掌握</w:t>
      </w:r>
      <w:r w:rsidR="004035B1" w:rsidRPr="004035B1">
        <w:rPr>
          <w:rFonts w:ascii="仿宋_GB2312" w:eastAsia="仿宋_GB2312" w:hint="eastAsia"/>
          <w:sz w:val="28"/>
          <w:szCs w:val="28"/>
        </w:rPr>
        <w:t>播音创作基础、文艺作品</w:t>
      </w:r>
      <w:proofErr w:type="gramStart"/>
      <w:r w:rsidR="004035B1" w:rsidRPr="004035B1">
        <w:rPr>
          <w:rFonts w:ascii="仿宋_GB2312" w:eastAsia="仿宋_GB2312" w:hint="eastAsia"/>
          <w:sz w:val="28"/>
          <w:szCs w:val="28"/>
        </w:rPr>
        <w:t>演播学</w:t>
      </w:r>
      <w:proofErr w:type="gramEnd"/>
      <w:r w:rsidR="004035B1" w:rsidRPr="004035B1">
        <w:rPr>
          <w:rFonts w:ascii="仿宋_GB2312" w:eastAsia="仿宋_GB2312" w:hint="eastAsia"/>
          <w:sz w:val="28"/>
          <w:szCs w:val="28"/>
        </w:rPr>
        <w:t>概论、新闻学概论等理论知识</w:t>
      </w:r>
      <w:r w:rsidR="004035B1">
        <w:rPr>
          <w:rFonts w:ascii="仿宋_GB2312" w:eastAsia="仿宋_GB2312" w:hint="eastAsia"/>
          <w:sz w:val="28"/>
          <w:szCs w:val="28"/>
        </w:rPr>
        <w:t>，</w:t>
      </w:r>
      <w:r w:rsidRPr="00AB149C">
        <w:rPr>
          <w:rFonts w:ascii="仿宋_GB2312" w:eastAsia="仿宋_GB2312" w:hint="eastAsia"/>
          <w:sz w:val="28"/>
          <w:szCs w:val="28"/>
        </w:rPr>
        <w:t>接受</w:t>
      </w:r>
      <w:r w:rsidR="004035B1">
        <w:rPr>
          <w:rFonts w:ascii="仿宋_GB2312" w:eastAsia="仿宋_GB2312" w:hint="eastAsia"/>
          <w:sz w:val="28"/>
          <w:szCs w:val="28"/>
        </w:rPr>
        <w:t>语言表达</w:t>
      </w:r>
      <w:r w:rsidRPr="00AB149C">
        <w:rPr>
          <w:rFonts w:ascii="仿宋_GB2312" w:eastAsia="仿宋_GB2312" w:hint="eastAsia"/>
          <w:sz w:val="28"/>
          <w:szCs w:val="28"/>
        </w:rPr>
        <w:t>与创作中相关理论与技能的综合培养，要求学生具备扎实的</w:t>
      </w:r>
      <w:r w:rsidR="004035B1" w:rsidRPr="004035B1">
        <w:rPr>
          <w:rFonts w:ascii="仿宋_GB2312" w:eastAsia="仿宋_GB2312" w:hint="eastAsia"/>
          <w:sz w:val="28"/>
          <w:szCs w:val="28"/>
        </w:rPr>
        <w:t>语言表达、广播播音与主持等能力</w:t>
      </w:r>
      <w:r w:rsidRPr="00AB149C">
        <w:rPr>
          <w:rFonts w:ascii="仿宋_GB2312" w:eastAsia="仿宋_GB2312" w:hint="eastAsia"/>
          <w:sz w:val="28"/>
          <w:szCs w:val="28"/>
        </w:rPr>
        <w:t>，</w:t>
      </w:r>
      <w:r w:rsidR="004035B1" w:rsidRPr="004035B1">
        <w:rPr>
          <w:rFonts w:ascii="仿宋_GB2312" w:eastAsia="仿宋_GB2312" w:hint="eastAsia"/>
          <w:sz w:val="28"/>
          <w:szCs w:val="28"/>
        </w:rPr>
        <w:t>具有良好的语言感受和表达能力、艺术感悟能力</w:t>
      </w:r>
      <w:r w:rsidR="004035B1">
        <w:rPr>
          <w:rFonts w:ascii="仿宋_GB2312" w:eastAsia="仿宋_GB2312" w:hint="eastAsia"/>
          <w:sz w:val="28"/>
          <w:szCs w:val="28"/>
        </w:rPr>
        <w:t>，同时</w:t>
      </w:r>
      <w:r w:rsidR="004035B1" w:rsidRPr="004035B1">
        <w:rPr>
          <w:rFonts w:ascii="仿宋_GB2312" w:eastAsia="仿宋_GB2312" w:hint="eastAsia"/>
          <w:sz w:val="28"/>
          <w:szCs w:val="28"/>
        </w:rPr>
        <w:t>具有专业新闻采访写作、节目编辑制作的基本能力</w:t>
      </w:r>
      <w:r w:rsidR="004035B1">
        <w:rPr>
          <w:rFonts w:ascii="仿宋_GB2312" w:eastAsia="仿宋_GB2312" w:hint="eastAsia"/>
          <w:sz w:val="28"/>
          <w:szCs w:val="28"/>
        </w:rPr>
        <w:t>和</w:t>
      </w:r>
      <w:r w:rsidRPr="00AB149C">
        <w:rPr>
          <w:rFonts w:ascii="仿宋_GB2312" w:eastAsia="仿宋_GB2312" w:hint="eastAsia"/>
          <w:sz w:val="28"/>
          <w:szCs w:val="28"/>
        </w:rPr>
        <w:t>较全面的艺术创作能力以及较强的创新意识。</w:t>
      </w:r>
    </w:p>
    <w:p w:rsidR="003556C3" w:rsidRPr="003556C3" w:rsidRDefault="003556C3" w:rsidP="003556C3">
      <w:pPr>
        <w:spacing w:line="520" w:lineRule="exact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专业能力（A）：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A1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掌握播音与主持艺术专业基本理论，基本技能和方法。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A2：具备广播电视或互联网节目主持、策划、制作的技巧和方法，能够担任广播电视互联网等媒体的播音主持岗位。</w:t>
      </w:r>
    </w:p>
    <w:p w:rsidR="003556C3" w:rsidRPr="003556C3" w:rsidRDefault="003556C3" w:rsidP="003556C3">
      <w:pPr>
        <w:spacing w:line="520" w:lineRule="exact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 xml:space="preserve">    A3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熟悉掌握各类视听内容创作的基本创作技术。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A4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密切关注和了解广播电视界、文化艺术界的最新技术和应用前景，对于影视行业有高度敏感性。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lastRenderedPageBreak/>
        <w:t>A5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掌握声音塑造角色的基本技巧，能够运用声音较好的塑造影视人物角色。</w:t>
      </w:r>
    </w:p>
    <w:p w:rsidR="003556C3" w:rsidRPr="003556C3" w:rsidRDefault="003556C3" w:rsidP="003556C3">
      <w:pPr>
        <w:spacing w:line="520" w:lineRule="exact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综合素质（B）：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B1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具备高尚的职业道德素养和正确的价值观、人文修养和健康的身心素质。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B2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 xml:space="preserve">具备较好的国际交流，团队合作及创新意识，较强的语言表达能力，具备较好的社会活动能力。 </w:t>
      </w:r>
    </w:p>
    <w:p w:rsidR="003556C3" w:rsidRP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B3：掌握人文社会科学基础知识，了解与本专业相关的必备知识。</w:t>
      </w:r>
    </w:p>
    <w:p w:rsidR="003556C3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B4</w:t>
      </w:r>
      <w:r w:rsidR="00CB6C57">
        <w:rPr>
          <w:rFonts w:ascii="仿宋_GB2312" w:eastAsia="仿宋_GB2312" w:hint="eastAsia"/>
          <w:sz w:val="28"/>
          <w:szCs w:val="28"/>
        </w:rPr>
        <w:t>:</w:t>
      </w:r>
      <w:r w:rsidRPr="003556C3">
        <w:rPr>
          <w:rFonts w:ascii="仿宋_GB2312" w:eastAsia="仿宋_GB2312" w:hint="eastAsia"/>
          <w:sz w:val="28"/>
          <w:szCs w:val="28"/>
        </w:rPr>
        <w:t>具备相应的文学和艺术素养，具备借鉴和弘扬优秀的人类精神文化遗产的能力。</w:t>
      </w:r>
    </w:p>
    <w:p w:rsidR="00BC4A4D" w:rsidRPr="00AB149C" w:rsidRDefault="00BC4A4D" w:rsidP="003556C3">
      <w:pPr>
        <w:spacing w:line="520" w:lineRule="exact"/>
        <w:rPr>
          <w:rFonts w:ascii="仿宋_GB2312" w:eastAsia="仿宋_GB2312" w:hAnsi="Calibri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三、主干学科</w:t>
      </w:r>
    </w:p>
    <w:p w:rsidR="00BC4A4D" w:rsidRPr="00AB149C" w:rsidRDefault="003556C3" w:rsidP="003556C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556C3">
        <w:rPr>
          <w:rFonts w:ascii="仿宋_GB2312" w:eastAsia="仿宋_GB2312" w:hint="eastAsia"/>
          <w:sz w:val="28"/>
          <w:szCs w:val="28"/>
        </w:rPr>
        <w:t>中国语言文学  新闻传播学  戏剧与影视学</w:t>
      </w:r>
    </w:p>
    <w:p w:rsidR="00BC4A4D" w:rsidRPr="00AB149C" w:rsidRDefault="00BC4A4D" w:rsidP="00BC4A4D">
      <w:pPr>
        <w:spacing w:line="520" w:lineRule="exact"/>
        <w:rPr>
          <w:rFonts w:ascii="仿宋_GB2312" w:eastAsia="仿宋_GB2312" w:hAnsi="Calibri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四、核心课程</w:t>
      </w:r>
    </w:p>
    <w:p w:rsidR="00BC4A4D" w:rsidRPr="00AB149C" w:rsidRDefault="00D25A40" w:rsidP="00D25A4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25A40">
        <w:rPr>
          <w:rFonts w:ascii="仿宋_GB2312" w:eastAsia="仿宋_GB2312" w:hint="eastAsia"/>
          <w:sz w:val="28"/>
          <w:szCs w:val="28"/>
        </w:rPr>
        <w:t>《播音学概论》、《普通话语音与发声》、《播音主持创作基础》、《普通话测试与指导》、《播音主持内外部技巧》、《形体基础训练》、《表演基础》、《声乐基础训练》、《语言艺术思维表达》、《文艺作品演播》、《影视配音》、《非线性编辑》</w:t>
      </w:r>
    </w:p>
    <w:p w:rsidR="00BC4A4D" w:rsidRPr="00AB149C" w:rsidRDefault="00BC4A4D" w:rsidP="00BC4A4D">
      <w:pPr>
        <w:spacing w:line="520" w:lineRule="exact"/>
        <w:rPr>
          <w:rFonts w:ascii="仿宋_GB2312" w:eastAsia="仿宋_GB2312" w:hAnsi="Calibri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五、主要实践环节</w:t>
      </w:r>
    </w:p>
    <w:p w:rsidR="00FF0AC4" w:rsidRP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本专业注重理论教学与实践教学相结合，注重实际操作能力培养，进一步增大实践性教学的比重，突出应用技术性人才培养特色。</w:t>
      </w:r>
    </w:p>
    <w:p w:rsidR="00FF0AC4" w:rsidRP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实践环节主要有：课内实践、创作日、集中实践、毕业创作等。</w:t>
      </w:r>
    </w:p>
    <w:p w:rsid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 xml:space="preserve">课内实践是指在学科基础课、专业基础课和专业课中的实践教学部分，如本专业的《普通话测试与指导》、《播音主持内外部技巧》、《普通话语音与发声作》、《播音主持创作基础》课程都有大量的实践教学内容。     </w:t>
      </w:r>
    </w:p>
    <w:p w:rsidR="00CB6C57" w:rsidRDefault="00FF0AC4" w:rsidP="00CB6C57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FF0AC4">
        <w:rPr>
          <w:rFonts w:ascii="仿宋_GB2312" w:eastAsia="仿宋_GB2312" w:hint="eastAsia"/>
          <w:sz w:val="28"/>
          <w:szCs w:val="28"/>
        </w:rPr>
        <w:t>创作日</w:t>
      </w:r>
      <w:proofErr w:type="gramEnd"/>
      <w:r w:rsidRPr="00FF0AC4">
        <w:rPr>
          <w:rFonts w:ascii="仿宋_GB2312" w:eastAsia="仿宋_GB2312" w:hint="eastAsia"/>
          <w:sz w:val="28"/>
          <w:szCs w:val="28"/>
        </w:rPr>
        <w:t>指一年级、二年级、三年级每个学期16个课时的实践教</w:t>
      </w:r>
      <w:r w:rsidRPr="00FF0AC4">
        <w:rPr>
          <w:rFonts w:ascii="仿宋_GB2312" w:eastAsia="仿宋_GB2312" w:hint="eastAsia"/>
          <w:sz w:val="28"/>
          <w:szCs w:val="28"/>
        </w:rPr>
        <w:lastRenderedPageBreak/>
        <w:t>学，配合该学期课程，由班主任负责指导学生进行相应实践活动。</w:t>
      </w:r>
    </w:p>
    <w:p w:rsidR="00FF0AC4" w:rsidRPr="00FF0AC4" w:rsidRDefault="00FF0AC4" w:rsidP="00CB6C5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集中实践是指二年级暑期开学、三年级暑期开学进行的集中实践周，组织学生进行社会实践、专业实习等实践教学活动。</w:t>
      </w:r>
    </w:p>
    <w:p w:rsidR="00BC4A4D" w:rsidRPr="00AB149C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毕业作品、撰写毕业论文、拍摄毕业联合作业等作为毕业作业的全部内容。</w:t>
      </w:r>
    </w:p>
    <w:p w:rsidR="00BC4A4D" w:rsidRPr="00AB149C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六、毕业标准与要求</w:t>
      </w:r>
    </w:p>
    <w:p w:rsidR="00FF0AC4" w:rsidRP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1、最低学分要求：160学分。</w:t>
      </w:r>
    </w:p>
    <w:p w:rsidR="00FF0AC4" w:rsidRP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0AC4">
        <w:rPr>
          <w:rFonts w:ascii="仿宋_GB2312" w:eastAsia="仿宋_GB2312" w:hint="eastAsia"/>
          <w:sz w:val="28"/>
          <w:szCs w:val="28"/>
        </w:rPr>
        <w:t>2、毕业标准：修满本培养计划规定的学分并符合学</w:t>
      </w:r>
      <w:r w:rsidR="00CB6C57">
        <w:rPr>
          <w:rFonts w:ascii="仿宋_GB2312" w:eastAsia="仿宋_GB2312" w:hint="eastAsia"/>
          <w:sz w:val="28"/>
          <w:szCs w:val="28"/>
        </w:rPr>
        <w:t>校</w:t>
      </w:r>
      <w:r w:rsidRPr="00FF0AC4">
        <w:rPr>
          <w:rFonts w:ascii="仿宋_GB2312" w:eastAsia="仿宋_GB2312" w:hint="eastAsia"/>
          <w:sz w:val="28"/>
          <w:szCs w:val="28"/>
        </w:rPr>
        <w:t>学籍管理规定，可获得播音与主持艺术专业本科毕业证书。</w:t>
      </w:r>
    </w:p>
    <w:p w:rsidR="00BC4A4D" w:rsidRPr="00FF0AC4" w:rsidRDefault="00FF0AC4" w:rsidP="00FF0AC4">
      <w:pPr>
        <w:spacing w:line="520" w:lineRule="exact"/>
        <w:ind w:firstLineChars="200" w:firstLine="560"/>
        <w:rPr>
          <w:rFonts w:ascii="仿宋_GB2312" w:eastAsia="仿宋_GB2312"/>
        </w:rPr>
      </w:pPr>
      <w:r w:rsidRPr="00FF0AC4">
        <w:rPr>
          <w:rFonts w:ascii="仿宋_GB2312" w:eastAsia="仿宋_GB2312" w:hint="eastAsia"/>
          <w:sz w:val="28"/>
          <w:szCs w:val="28"/>
        </w:rPr>
        <w:t>3、学位标准：获得播音与主持艺术本科毕业证书，</w:t>
      </w:r>
      <w:proofErr w:type="gramStart"/>
      <w:r w:rsidRPr="00FF0AC4">
        <w:rPr>
          <w:rFonts w:ascii="仿宋_GB2312" w:eastAsia="仿宋_GB2312" w:hint="eastAsia"/>
          <w:sz w:val="28"/>
          <w:szCs w:val="28"/>
        </w:rPr>
        <w:t>且毕业</w:t>
      </w:r>
      <w:proofErr w:type="gramEnd"/>
      <w:r w:rsidRPr="00FF0AC4">
        <w:rPr>
          <w:rFonts w:ascii="仿宋_GB2312" w:eastAsia="仿宋_GB2312" w:hint="eastAsia"/>
          <w:sz w:val="28"/>
          <w:szCs w:val="28"/>
        </w:rPr>
        <w:t>作品、毕业论文成绩在75分以上，经学</w:t>
      </w:r>
      <w:r w:rsidR="00CB6C57">
        <w:rPr>
          <w:rFonts w:ascii="仿宋_GB2312" w:eastAsia="仿宋_GB2312" w:hint="eastAsia"/>
          <w:sz w:val="28"/>
          <w:szCs w:val="28"/>
        </w:rPr>
        <w:t>校</w:t>
      </w:r>
      <w:r w:rsidRPr="00FF0AC4">
        <w:rPr>
          <w:rFonts w:ascii="仿宋_GB2312" w:eastAsia="仿宋_GB2312" w:hint="eastAsia"/>
          <w:sz w:val="28"/>
          <w:szCs w:val="28"/>
        </w:rPr>
        <w:t>学位委员会批准授予文学学士学位。</w:t>
      </w:r>
    </w:p>
    <w:p w:rsidR="00BC4A4D" w:rsidRPr="00AB149C" w:rsidRDefault="00BC4A4D" w:rsidP="00880BA7">
      <w:pPr>
        <w:spacing w:line="520" w:lineRule="exact"/>
        <w:rPr>
          <w:rFonts w:ascii="仿宋_GB2312" w:eastAsia="仿宋_GB2312"/>
          <w:sz w:val="28"/>
          <w:szCs w:val="28"/>
        </w:rPr>
      </w:pPr>
      <w:r w:rsidRPr="00AB149C">
        <w:rPr>
          <w:rFonts w:ascii="仿宋_GB2312" w:eastAsia="仿宋_GB2312" w:hint="eastAsia"/>
          <w:sz w:val="28"/>
          <w:szCs w:val="28"/>
        </w:rPr>
        <w:t>七、主要课程（环节）与培养要求对应矩阵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1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A1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A2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A3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A4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A5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B1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B2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B3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B4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中国近代史纲要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形式与政策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大学英语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Ⅰ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/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体育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Ⅰ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/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Ⅱ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/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Ⅲ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/</w:t>
            </w:r>
            <w:r w:rsidRPr="004D3C79">
              <w:rPr>
                <w:rFonts w:ascii="仿宋_GB2312" w:eastAsia="仿宋_GB2312" w:hAnsiTheme="minorEastAsia" w:hint="eastAsia"/>
                <w:sz w:val="18"/>
                <w:szCs w:val="18"/>
              </w:rPr>
              <w:t>Ⅳ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22DE7">
              <w:rPr>
                <w:rFonts w:ascii="仿宋_GB2312" w:eastAsia="仿宋_GB2312" w:hAnsiTheme="minorEastAsia" w:hint="eastAsia"/>
                <w:sz w:val="18"/>
                <w:szCs w:val="18"/>
              </w:rPr>
              <w:t>军事训练（军事理论课）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职业发展规划与就业指导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3181" w:type="dxa"/>
          </w:tcPr>
          <w:p w:rsidR="002254FD" w:rsidRPr="00246CB3" w:rsidRDefault="002254FD" w:rsidP="00CA110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劳动教育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46CB3" w:rsidRDefault="002254FD" w:rsidP="00CA110D">
            <w:pPr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播音学概论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艺术作品赏析I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艺术作品赏析II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媒介概论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普通话语音与发声I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普通话语音与发声II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18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播音主持创作基础I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19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播音主持创作基础II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20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语言艺术思维表达I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语言艺术思维表达II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22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形体基础训练I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23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形体基础训练II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24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声乐基础训练I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25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声乐基础训练II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26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表演基础I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27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表演基础II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28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镜头前表演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29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毕业论文写作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46CB3">
              <w:rPr>
                <w:rFonts w:ascii="仿宋_GB2312" w:eastAsia="仿宋_GB2312" w:hint="eastAsia"/>
                <w:sz w:val="18"/>
                <w:szCs w:val="18"/>
              </w:rPr>
              <w:t>30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普通话测试与指导I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31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普通话测试与指导II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32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播音主持内外部技巧I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播音主持内外部技巧II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即兴口语表达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摄影摄像基础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文艺作品演播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37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新闻播音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38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影视配音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39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演讲与辩论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广播电视采访与写作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41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新媒体播音与主持实践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主持人形象设计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节目主持艺术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CD31D4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44</w:t>
            </w:r>
          </w:p>
        </w:tc>
        <w:tc>
          <w:tcPr>
            <w:tcW w:w="3181" w:type="dxa"/>
            <w:vAlign w:val="center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2254FD">
              <w:rPr>
                <w:rFonts w:ascii="仿宋" w:eastAsia="仿宋" w:hAnsi="仿宋" w:hint="eastAsia"/>
                <w:sz w:val="18"/>
                <w:szCs w:val="18"/>
              </w:rPr>
              <w:t>创作日</w:t>
            </w:r>
            <w:proofErr w:type="gramEnd"/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45</w:t>
            </w:r>
          </w:p>
        </w:tc>
        <w:tc>
          <w:tcPr>
            <w:tcW w:w="3181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社会实践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Pr="00246CB3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</w:t>
            </w:r>
          </w:p>
        </w:tc>
        <w:tc>
          <w:tcPr>
            <w:tcW w:w="3181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专业实习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254FD" w:rsidRPr="00867B8F" w:rsidTr="002254FD">
        <w:tc>
          <w:tcPr>
            <w:tcW w:w="648" w:type="dxa"/>
          </w:tcPr>
          <w:p w:rsidR="002254FD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47</w:t>
            </w:r>
          </w:p>
        </w:tc>
        <w:tc>
          <w:tcPr>
            <w:tcW w:w="3181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毕业创作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  <w:tr w:rsidR="002254FD" w:rsidRPr="00867B8F" w:rsidTr="002254FD">
        <w:tc>
          <w:tcPr>
            <w:tcW w:w="648" w:type="dxa"/>
          </w:tcPr>
          <w:p w:rsidR="002254FD" w:rsidRDefault="002254FD" w:rsidP="00CA110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48</w:t>
            </w:r>
          </w:p>
        </w:tc>
        <w:tc>
          <w:tcPr>
            <w:tcW w:w="3181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毕业论文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10" w:type="dxa"/>
          </w:tcPr>
          <w:p w:rsidR="002254FD" w:rsidRPr="002254FD" w:rsidRDefault="002254FD" w:rsidP="00437731">
            <w:pPr>
              <w:rPr>
                <w:rFonts w:ascii="仿宋" w:eastAsia="仿宋" w:hAnsi="仿宋"/>
                <w:sz w:val="18"/>
                <w:szCs w:val="18"/>
              </w:rPr>
            </w:pPr>
            <w:r w:rsidRPr="002254FD">
              <w:rPr>
                <w:rFonts w:ascii="仿宋" w:eastAsia="仿宋" w:hAnsi="仿宋" w:hint="eastAsia"/>
                <w:sz w:val="18"/>
                <w:szCs w:val="18"/>
              </w:rPr>
              <w:t>☆</w:t>
            </w:r>
          </w:p>
        </w:tc>
      </w:tr>
    </w:tbl>
    <w:p w:rsidR="00BC4A4D" w:rsidRPr="00312E7E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312E7E">
        <w:rPr>
          <w:rFonts w:ascii="仿宋_GB2312" w:eastAsia="仿宋_GB2312" w:hint="eastAsia"/>
          <w:sz w:val="28"/>
          <w:szCs w:val="28"/>
        </w:rPr>
        <w:t>八、教学进程表</w:t>
      </w:r>
    </w:p>
    <w:p w:rsidR="00BC4A4D" w:rsidRPr="00DD34AE" w:rsidRDefault="00BC4A4D" w:rsidP="00FA755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见《附表1：</w:t>
      </w:r>
      <w:r w:rsidR="008D3851">
        <w:rPr>
          <w:rFonts w:ascii="仿宋_GB2312" w:eastAsia="仿宋_GB2312" w:hint="eastAsia"/>
          <w:sz w:val="28"/>
          <w:szCs w:val="28"/>
        </w:rPr>
        <w:t>播音与主持艺术</w:t>
      </w:r>
      <w:r w:rsidRPr="00DD34AE">
        <w:rPr>
          <w:rFonts w:ascii="仿宋_GB2312" w:eastAsia="仿宋_GB2312" w:hint="eastAsia"/>
          <w:sz w:val="28"/>
          <w:szCs w:val="28"/>
        </w:rPr>
        <w:t>2021级教学进程表》</w:t>
      </w:r>
    </w:p>
    <w:p w:rsidR="00BC4A4D" w:rsidRPr="00DD34AE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九、教学安排一览表</w:t>
      </w:r>
    </w:p>
    <w:p w:rsidR="00BC4A4D" w:rsidRPr="00DD34AE" w:rsidRDefault="00BC4A4D" w:rsidP="00FA755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见《附表2：教学安排一览表》</w:t>
      </w:r>
    </w:p>
    <w:p w:rsidR="00BC4A4D" w:rsidRPr="00DD34AE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十、集中实践教育教学环节安排</w:t>
      </w:r>
    </w:p>
    <w:p w:rsidR="00BC4A4D" w:rsidRPr="00DD34AE" w:rsidRDefault="00BC4A4D" w:rsidP="00FA755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见《附表3：实践教学环节设置》</w:t>
      </w:r>
    </w:p>
    <w:p w:rsidR="00BC4A4D" w:rsidRPr="00DD34AE" w:rsidRDefault="00BC4A4D" w:rsidP="00BC4A4D">
      <w:pPr>
        <w:spacing w:line="520" w:lineRule="exact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十一、各环节学时学分及比例</w:t>
      </w:r>
    </w:p>
    <w:p w:rsidR="00BC4A4D" w:rsidRDefault="00BC4A4D" w:rsidP="00225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D34AE">
        <w:rPr>
          <w:rFonts w:ascii="仿宋_GB2312" w:eastAsia="仿宋_GB2312" w:hint="eastAsia"/>
          <w:sz w:val="28"/>
          <w:szCs w:val="28"/>
        </w:rPr>
        <w:t>见《附表4：各环节学分及比例》</w:t>
      </w:r>
    </w:p>
    <w:p w:rsidR="00725BB2" w:rsidRDefault="00BC4A4D" w:rsidP="00123449">
      <w:pPr>
        <w:spacing w:line="520" w:lineRule="exact"/>
      </w:pPr>
      <w:r w:rsidRPr="00772419">
        <w:rPr>
          <w:rFonts w:ascii="仿宋_GB2312" w:eastAsia="仿宋_GB2312" w:hint="eastAsia"/>
          <w:sz w:val="24"/>
        </w:rPr>
        <w:t>主管</w:t>
      </w:r>
      <w:r>
        <w:rPr>
          <w:rFonts w:asciiTheme="minorHAnsi" w:eastAsia="仿宋_GB2312" w:hAnsiTheme="minorHAnsi" w:hint="eastAsia"/>
          <w:sz w:val="24"/>
        </w:rPr>
        <w:t>校</w:t>
      </w:r>
      <w:r w:rsidRPr="00772419">
        <w:rPr>
          <w:rFonts w:ascii="仿宋_GB2312" w:eastAsia="仿宋_GB2312" w:hint="eastAsia"/>
          <w:sz w:val="24"/>
        </w:rPr>
        <w:t>长：卢斌  教务处处长：王众臣  系主任：</w:t>
      </w:r>
      <w:proofErr w:type="gramStart"/>
      <w:r w:rsidRPr="00772419">
        <w:rPr>
          <w:rFonts w:ascii="仿宋_GB2312" w:eastAsia="仿宋_GB2312" w:hint="eastAsia"/>
          <w:sz w:val="24"/>
        </w:rPr>
        <w:t>郑雅玲</w:t>
      </w:r>
      <w:proofErr w:type="gramEnd"/>
      <w:r w:rsidRPr="00772419">
        <w:rPr>
          <w:rFonts w:ascii="仿宋_GB2312" w:eastAsia="仿宋_GB2312" w:hint="eastAsia"/>
          <w:sz w:val="24"/>
        </w:rPr>
        <w:t xml:space="preserve">  </w:t>
      </w:r>
      <w:r w:rsidR="00EA6DFE">
        <w:rPr>
          <w:rFonts w:ascii="仿宋_GB2312" w:eastAsia="仿宋_GB2312" w:hint="eastAsia"/>
          <w:sz w:val="24"/>
        </w:rPr>
        <w:t>专业负责人：栾潇潇</w:t>
      </w:r>
      <w:bookmarkStart w:id="0" w:name="_GoBack"/>
      <w:bookmarkEnd w:id="0"/>
    </w:p>
    <w:sectPr w:rsidR="00725BB2" w:rsidSect="00A35F8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B5" w:rsidRDefault="00B55BB5" w:rsidP="00A35F83">
      <w:r>
        <w:separator/>
      </w:r>
    </w:p>
  </w:endnote>
  <w:endnote w:type="continuationSeparator" w:id="1">
    <w:p w:rsidR="00B55BB5" w:rsidRDefault="00B55BB5" w:rsidP="00A3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B5" w:rsidRDefault="00B55BB5" w:rsidP="00A35F83">
      <w:r>
        <w:separator/>
      </w:r>
    </w:p>
  </w:footnote>
  <w:footnote w:type="continuationSeparator" w:id="1">
    <w:p w:rsidR="00B55BB5" w:rsidRDefault="00B55BB5" w:rsidP="00A3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23" w:rsidRDefault="00CE090E" w:rsidP="00597C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4D"/>
    <w:rsid w:val="00006BD8"/>
    <w:rsid w:val="00055B93"/>
    <w:rsid w:val="000F63FD"/>
    <w:rsid w:val="001150B8"/>
    <w:rsid w:val="00123449"/>
    <w:rsid w:val="001814AA"/>
    <w:rsid w:val="001E15D1"/>
    <w:rsid w:val="002254FD"/>
    <w:rsid w:val="0027793B"/>
    <w:rsid w:val="003556C3"/>
    <w:rsid w:val="003E15D2"/>
    <w:rsid w:val="004035B1"/>
    <w:rsid w:val="005F06F4"/>
    <w:rsid w:val="00725BB2"/>
    <w:rsid w:val="00880BA7"/>
    <w:rsid w:val="008A1027"/>
    <w:rsid w:val="008D3851"/>
    <w:rsid w:val="00A35F83"/>
    <w:rsid w:val="00AC2F00"/>
    <w:rsid w:val="00B55BB5"/>
    <w:rsid w:val="00BC1BBB"/>
    <w:rsid w:val="00BC4A4D"/>
    <w:rsid w:val="00C25BBD"/>
    <w:rsid w:val="00CB6C57"/>
    <w:rsid w:val="00CE090E"/>
    <w:rsid w:val="00D25A40"/>
    <w:rsid w:val="00D269E4"/>
    <w:rsid w:val="00D96699"/>
    <w:rsid w:val="00E64E74"/>
    <w:rsid w:val="00EA6DFE"/>
    <w:rsid w:val="00F014BD"/>
    <w:rsid w:val="00F60FEC"/>
    <w:rsid w:val="00FA7551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4A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5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33C6C-DB73-4A0D-95E0-AD2A0838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cm</cp:lastModifiedBy>
  <cp:revision>26</cp:revision>
  <dcterms:created xsi:type="dcterms:W3CDTF">2021-12-31T08:04:00Z</dcterms:created>
  <dcterms:modified xsi:type="dcterms:W3CDTF">2022-01-17T07:37:00Z</dcterms:modified>
</cp:coreProperties>
</file>